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i w:val="0"/>
          <w:strike w:val="0"/>
          <w:sz w:val="22"/>
          <w:szCs w:val="22"/>
          <w:u w:val="none"/>
          <w:rtl w:val="0"/>
        </w:rPr>
        <w:t xml:space="preserve">Video 1. Positioning of the MyVal prosthesis in relation to the surgical Carpentier-Edwards bioprosthesis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Slow and controlled inflation of the MyVal valve with the balloon in two consecutive stages.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"This video can be placed instead of Figures 1 and 2 in the text.”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obe6eooduuz9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q1l1ieeei9tn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57vplpafpt82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Video 2. Final valve positioning of the MyVal prosthesis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28a1o84iwb18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